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8D" w:rsidRDefault="00C0048D" w:rsidP="00C0048D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Prezentat în ședința ordinară din 18.04.2019</w:t>
      </w:r>
    </w:p>
    <w:p w:rsidR="00C0048D" w:rsidRDefault="00C0048D" w:rsidP="000E1F21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C0048D" w:rsidRDefault="00C0048D" w:rsidP="000E1F21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C0048D" w:rsidRDefault="00C0048D" w:rsidP="000E1F21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C0048D" w:rsidRDefault="00C0048D" w:rsidP="000E1F21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C0048D" w:rsidRDefault="00C0048D" w:rsidP="000E1F21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0E1F21" w:rsidRPr="000E1F21" w:rsidRDefault="000E1F21" w:rsidP="000E1F21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E1F21">
        <w:rPr>
          <w:rFonts w:ascii="Times New Roman" w:hAnsi="Times New Roman"/>
          <w:b/>
          <w:sz w:val="24"/>
          <w:szCs w:val="24"/>
        </w:rPr>
        <w:t xml:space="preserve">  R O M Â N I A</w:t>
      </w:r>
    </w:p>
    <w:p w:rsidR="000E1F21" w:rsidRPr="000E1F21" w:rsidRDefault="000E1F21" w:rsidP="000E1F21">
      <w:pPr>
        <w:spacing w:after="0"/>
        <w:rPr>
          <w:rFonts w:ascii="Times New Roman" w:hAnsi="Times New Roman"/>
          <w:b/>
          <w:sz w:val="24"/>
          <w:szCs w:val="24"/>
        </w:rPr>
      </w:pPr>
      <w:r w:rsidRPr="000E1F21">
        <w:rPr>
          <w:rFonts w:ascii="Times New Roman" w:hAnsi="Times New Roman"/>
          <w:b/>
          <w:sz w:val="24"/>
          <w:szCs w:val="24"/>
        </w:rPr>
        <w:t>JUDEŢUL BISTRIŢA - NĂSĂUD</w:t>
      </w:r>
    </w:p>
    <w:p w:rsidR="000E1F21" w:rsidRPr="000E1F21" w:rsidRDefault="000E1F21" w:rsidP="000E1F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E1F21">
        <w:rPr>
          <w:rFonts w:ascii="Times New Roman" w:hAnsi="Times New Roman"/>
          <w:b/>
          <w:sz w:val="24"/>
          <w:szCs w:val="24"/>
        </w:rPr>
        <w:t xml:space="preserve"> COMUNA ŞINTEREAG</w:t>
      </w:r>
    </w:p>
    <w:p w:rsidR="000E1F21" w:rsidRDefault="000E1F21" w:rsidP="000E1F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E1F21">
        <w:rPr>
          <w:rFonts w:ascii="Times New Roman" w:hAnsi="Times New Roman"/>
          <w:b/>
          <w:sz w:val="24"/>
          <w:szCs w:val="24"/>
        </w:rPr>
        <w:t xml:space="preserve"> -PRIMAR-</w:t>
      </w:r>
    </w:p>
    <w:p w:rsidR="00756356" w:rsidRPr="000E1F21" w:rsidRDefault="00756356" w:rsidP="000E1F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Nr. 144 din 14.01.2019</w:t>
      </w:r>
    </w:p>
    <w:p w:rsidR="003E35BD" w:rsidRDefault="003E35BD">
      <w:pPr>
        <w:rPr>
          <w:rFonts w:ascii="Times New Roman" w:hAnsi="Times New Roman"/>
          <w:sz w:val="24"/>
          <w:szCs w:val="24"/>
        </w:rPr>
      </w:pPr>
    </w:p>
    <w:p w:rsidR="000E1F21" w:rsidRDefault="000E1F21">
      <w:pPr>
        <w:rPr>
          <w:rFonts w:ascii="Times New Roman" w:hAnsi="Times New Roman"/>
          <w:sz w:val="24"/>
          <w:szCs w:val="24"/>
        </w:rPr>
      </w:pPr>
    </w:p>
    <w:p w:rsidR="000E1F21" w:rsidRDefault="000E1F21" w:rsidP="000E1F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F21">
        <w:rPr>
          <w:rFonts w:ascii="Times New Roman" w:hAnsi="Times New Roman"/>
          <w:b/>
          <w:sz w:val="28"/>
          <w:szCs w:val="28"/>
        </w:rPr>
        <w:t>RAPORTUL PRIMARULUI COMUNEI ȘINTEREAG</w:t>
      </w:r>
    </w:p>
    <w:p w:rsidR="000E1F21" w:rsidRDefault="000E1F21" w:rsidP="000E1F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Privind situația gestionării bunurilor aparținând domeniului public și privat al unității administrativ – teritoriale, pe anul </w:t>
      </w:r>
      <w:r w:rsidR="00FE26D3">
        <w:rPr>
          <w:rFonts w:ascii="Times New Roman" w:hAnsi="Times New Roman"/>
          <w:b/>
          <w:sz w:val="28"/>
          <w:szCs w:val="28"/>
        </w:rPr>
        <w:t>201</w:t>
      </w:r>
      <w:r w:rsidR="00A31D7C">
        <w:rPr>
          <w:rFonts w:ascii="Times New Roman" w:hAnsi="Times New Roman"/>
          <w:b/>
          <w:sz w:val="28"/>
          <w:szCs w:val="28"/>
        </w:rPr>
        <w:t>8</w:t>
      </w:r>
    </w:p>
    <w:p w:rsidR="000E1F21" w:rsidRDefault="000E1F21" w:rsidP="000E1F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F21" w:rsidRDefault="000E1F21" w:rsidP="00842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Potrivit prevederilor art.122 din Legea administrației publice locale nr. 215/2001 repuplicată, cu modificările și completările ulterioare, Consiliului local i se prezintă anual de către primar, un raport asupra situației gestionării bunurilor.</w:t>
      </w:r>
    </w:p>
    <w:p w:rsidR="000E1F21" w:rsidRDefault="000E1F21" w:rsidP="00842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În conformitate cu prevederile Legii nr. 215/2001 a administrației locale, răspunderea pentru gestionarea bunurilor care alcătuiesc patrimoniul unității administrativ – teritoriale revine conduc</w:t>
      </w:r>
      <w:r w:rsidR="000F5084">
        <w:rPr>
          <w:rFonts w:ascii="Times New Roman" w:hAnsi="Times New Roman"/>
          <w:sz w:val="24"/>
          <w:szCs w:val="24"/>
        </w:rPr>
        <w:t xml:space="preserve">ătorului acesteia. Conform art. 119 din această lege, constituie patrimoniul comunei, bunurile mobile și imobile care aparțin </w:t>
      </w:r>
      <w:r w:rsidR="00842860">
        <w:rPr>
          <w:rFonts w:ascii="Times New Roman" w:hAnsi="Times New Roman"/>
          <w:sz w:val="24"/>
          <w:szCs w:val="24"/>
        </w:rPr>
        <w:t>domeniului public al comunei Șintereag, domeniului privat al acesteia, precum și drepturile și obligațiile cu caracter patrimonial.</w:t>
      </w:r>
    </w:p>
    <w:p w:rsidR="00842860" w:rsidRDefault="00842860" w:rsidP="00842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Potrivit Legii nr. 213/1998, privind proprietatea publică și regimul juridic al acesteia, unitățile administrativ-teritoriale, respectiv Consiliul local exercită, posesia, folosința și dispoziția asupra bunurilor care alcătuiesc domeniul public în limitele și condițiile legii.</w:t>
      </w:r>
    </w:p>
    <w:p w:rsidR="00DA3B72" w:rsidRDefault="00DA3B72" w:rsidP="00842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Potrivit prevederilor alin (1) al art. 121 din L.215/2001 republicată, domeniul privat al comunei Șintereag este alcătuit din bunuri mobile și imobile, altele decât cele cuprinse în domeniul public, intrate în proprietatea acesteia prin modalitățile prevăzute de lege.</w:t>
      </w:r>
    </w:p>
    <w:p w:rsidR="00DA3B72" w:rsidRDefault="00DA3B72" w:rsidP="00842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Situația din anul</w:t>
      </w:r>
      <w:r w:rsidR="00A31D7C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a bunurilor ce aparțin domeniului public și privat date în administrare, folosință închiriate sau concesionate unor instituții</w:t>
      </w:r>
      <w:r w:rsidR="00FE26D3">
        <w:rPr>
          <w:rFonts w:ascii="Times New Roman" w:hAnsi="Times New Roman"/>
          <w:sz w:val="24"/>
          <w:szCs w:val="24"/>
        </w:rPr>
        <w:t xml:space="preserve"> sau autorități, altor persoane fizice sau juridice, s-a efectuat cu respectarea prevederilor legale în vigoare, încheindu-se în acest sens contracte cu beneficiarii respectivi, în baza HCL, în conformitate cu prevederile alin (1), art. 123 din L. 215/2001: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53"/>
        <w:gridCol w:w="1448"/>
        <w:gridCol w:w="1419"/>
        <w:gridCol w:w="2234"/>
      </w:tblGrid>
      <w:tr w:rsidR="00FE26D3" w:rsidTr="00FE26D3">
        <w:tc>
          <w:tcPr>
            <w:tcW w:w="534" w:type="dxa"/>
            <w:vAlign w:val="center"/>
          </w:tcPr>
          <w:p w:rsidR="00FE26D3" w:rsidRDefault="00FE26D3" w:rsidP="00FE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crt</w:t>
            </w:r>
          </w:p>
        </w:tc>
        <w:tc>
          <w:tcPr>
            <w:tcW w:w="3653" w:type="dxa"/>
            <w:vAlign w:val="center"/>
          </w:tcPr>
          <w:p w:rsidR="00FE26D3" w:rsidRDefault="00FE26D3" w:rsidP="00FE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Bunuri din domeniul public și privat</w:t>
            </w:r>
          </w:p>
        </w:tc>
        <w:tc>
          <w:tcPr>
            <w:tcW w:w="1448" w:type="dxa"/>
            <w:vAlign w:val="center"/>
          </w:tcPr>
          <w:p w:rsidR="00FE26D3" w:rsidRDefault="00FE26D3" w:rsidP="00FE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dosare</w:t>
            </w:r>
          </w:p>
        </w:tc>
        <w:tc>
          <w:tcPr>
            <w:tcW w:w="1419" w:type="dxa"/>
            <w:vAlign w:val="center"/>
          </w:tcPr>
          <w:p w:rsidR="00FE26D3" w:rsidRDefault="00FE26D3" w:rsidP="00FE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Suprafața</w:t>
            </w:r>
          </w:p>
        </w:tc>
        <w:tc>
          <w:tcPr>
            <w:tcW w:w="2234" w:type="dxa"/>
            <w:vAlign w:val="center"/>
          </w:tcPr>
          <w:p w:rsidR="00FE26D3" w:rsidRDefault="00FE26D3" w:rsidP="00FE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Valoarea le - încasat</w:t>
            </w:r>
          </w:p>
        </w:tc>
      </w:tr>
      <w:tr w:rsidR="00FE26D3" w:rsidTr="00B36663">
        <w:tc>
          <w:tcPr>
            <w:tcW w:w="534" w:type="dxa"/>
            <w:vAlign w:val="center"/>
          </w:tcPr>
          <w:p w:rsidR="00FE26D3" w:rsidRDefault="00FE26D3" w:rsidP="00B3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vAlign w:val="center"/>
          </w:tcPr>
          <w:p w:rsidR="00FE26D3" w:rsidRDefault="00B36663" w:rsidP="00B3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Concesiune pajiști</w:t>
            </w:r>
          </w:p>
        </w:tc>
        <w:tc>
          <w:tcPr>
            <w:tcW w:w="1448" w:type="dxa"/>
            <w:vAlign w:val="center"/>
          </w:tcPr>
          <w:p w:rsidR="00FE26D3" w:rsidRDefault="00B36663" w:rsidP="00B3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vAlign w:val="center"/>
          </w:tcPr>
          <w:p w:rsidR="00FE26D3" w:rsidRDefault="00B36663" w:rsidP="00B3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686,17 ha</w:t>
            </w:r>
          </w:p>
        </w:tc>
        <w:tc>
          <w:tcPr>
            <w:tcW w:w="2234" w:type="dxa"/>
            <w:vAlign w:val="center"/>
          </w:tcPr>
          <w:p w:rsidR="00FE26D3" w:rsidRDefault="00B36663" w:rsidP="00B3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195.058 lei/an</w:t>
            </w:r>
          </w:p>
        </w:tc>
      </w:tr>
      <w:tr w:rsidR="00FE26D3" w:rsidTr="00B36663">
        <w:tc>
          <w:tcPr>
            <w:tcW w:w="534" w:type="dxa"/>
            <w:vAlign w:val="center"/>
          </w:tcPr>
          <w:p w:rsidR="00FE26D3" w:rsidRDefault="00FE26D3" w:rsidP="00B3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vAlign w:val="center"/>
          </w:tcPr>
          <w:p w:rsidR="00FE26D3" w:rsidRDefault="00B36663" w:rsidP="00B3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Concesiune dispensar uman</w:t>
            </w:r>
          </w:p>
        </w:tc>
        <w:tc>
          <w:tcPr>
            <w:tcW w:w="1448" w:type="dxa"/>
            <w:vAlign w:val="center"/>
          </w:tcPr>
          <w:p w:rsidR="00FE26D3" w:rsidRDefault="00B36663" w:rsidP="00B3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center"/>
          </w:tcPr>
          <w:p w:rsidR="00FE26D3" w:rsidRDefault="00B36663" w:rsidP="00B3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78,15 mp</w:t>
            </w:r>
          </w:p>
        </w:tc>
        <w:tc>
          <w:tcPr>
            <w:tcW w:w="2234" w:type="dxa"/>
            <w:vAlign w:val="center"/>
          </w:tcPr>
          <w:p w:rsidR="00FE26D3" w:rsidRDefault="00B36663" w:rsidP="00B3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4.380 lei/an</w:t>
            </w:r>
          </w:p>
        </w:tc>
      </w:tr>
    </w:tbl>
    <w:p w:rsidR="00FE26D3" w:rsidRDefault="00FE26D3" w:rsidP="00842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6D3" w:rsidRDefault="00FE26D3" w:rsidP="00842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Potrivit prevederilor art. 122 din L.215/2001, toate bunurile aparținând unităților administrativ teritoriale sunt supuse inventarieii anuale.</w:t>
      </w:r>
    </w:p>
    <w:p w:rsidR="00FE26D3" w:rsidRDefault="00FE26D3" w:rsidP="00842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 asemenea, în conformitate cu prevederile art. 7, alin (1) din L. 821/1991, republicată cu modificările și completările ulterioare, precum și OMFP nr. 2861/2009 pentru aprobarea Normelor privind organizarea și efectuarea inventarieii elementelor de natura activelor, datoriilor și capitalurilor proprii, inventarierea generală a elementelor de activ și de pasiv deținute trebuie efectuată cel puțin o dată pe an.</w:t>
      </w:r>
    </w:p>
    <w:p w:rsidR="00322C78" w:rsidRDefault="00322C78" w:rsidP="00842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Prin Dispoziția nr.</w:t>
      </w:r>
      <w:r w:rsidR="00165360">
        <w:rPr>
          <w:rFonts w:ascii="Times New Roman" w:hAnsi="Times New Roman"/>
          <w:sz w:val="24"/>
          <w:szCs w:val="24"/>
        </w:rPr>
        <w:t xml:space="preserve"> 133/29.11.2018</w:t>
      </w:r>
      <w:r>
        <w:rPr>
          <w:rFonts w:ascii="Times New Roman" w:hAnsi="Times New Roman"/>
          <w:sz w:val="24"/>
          <w:szCs w:val="24"/>
        </w:rPr>
        <w:t>, primarul comunei Șintereag a numit o comisie care să efectueze inventarierea bunurilor ce fac parte din domeniul public și privat al</w:t>
      </w:r>
      <w:r w:rsidR="00A31D7C">
        <w:rPr>
          <w:rFonts w:ascii="Times New Roman" w:hAnsi="Times New Roman"/>
          <w:sz w:val="24"/>
          <w:szCs w:val="24"/>
        </w:rPr>
        <w:t xml:space="preserve"> comunei Șintereag, pe anul 2018</w:t>
      </w:r>
      <w:r>
        <w:rPr>
          <w:rFonts w:ascii="Times New Roman" w:hAnsi="Times New Roman"/>
          <w:sz w:val="24"/>
          <w:szCs w:val="24"/>
        </w:rPr>
        <w:t>, având ca scop principal stabilirea situației reale a tuturor elementelor de activ și de pasiv ale comunei, precum și a bunurilor și valorile deținute cu orice titlu, aparținând altor persoane juridice sau fizice, în vederea întocmirii situațiilor financiare anuale.</w:t>
      </w:r>
    </w:p>
    <w:p w:rsidR="00322C78" w:rsidRDefault="00322C78" w:rsidP="00842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În soldurile din evidența contabilă, situația patrimoniului</w:t>
      </w:r>
      <w:r w:rsidR="00A31D7C">
        <w:rPr>
          <w:rFonts w:ascii="Times New Roman" w:hAnsi="Times New Roman"/>
          <w:sz w:val="24"/>
          <w:szCs w:val="24"/>
        </w:rPr>
        <w:t xml:space="preserve"> comunei Șintereag la 31.12.2018</w:t>
      </w:r>
      <w:r>
        <w:rPr>
          <w:rFonts w:ascii="Times New Roman" w:hAnsi="Times New Roman"/>
          <w:sz w:val="24"/>
          <w:szCs w:val="24"/>
        </w:rPr>
        <w:t xml:space="preserve"> este:</w:t>
      </w:r>
    </w:p>
    <w:p w:rsidR="00322C78" w:rsidRDefault="00322C78" w:rsidP="00842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2C78" w:rsidRDefault="00322C78" w:rsidP="00322C7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Bunuri din domeniul public al Comunei Șintereag: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4252"/>
        <w:gridCol w:w="3510"/>
      </w:tblGrid>
      <w:tr w:rsidR="00322C78" w:rsidTr="00322C78">
        <w:tc>
          <w:tcPr>
            <w:tcW w:w="1166" w:type="dxa"/>
            <w:vAlign w:val="center"/>
          </w:tcPr>
          <w:p w:rsidR="00322C78" w:rsidRDefault="00322C78" w:rsidP="00322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4252" w:type="dxa"/>
            <w:vAlign w:val="center"/>
          </w:tcPr>
          <w:p w:rsidR="00322C78" w:rsidRDefault="00322C78" w:rsidP="00322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Denumire</w:t>
            </w:r>
          </w:p>
        </w:tc>
        <w:tc>
          <w:tcPr>
            <w:tcW w:w="3510" w:type="dxa"/>
            <w:vAlign w:val="center"/>
          </w:tcPr>
          <w:p w:rsidR="00322C78" w:rsidRDefault="00A31D7C" w:rsidP="00322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Sold la 31.12.2018</w:t>
            </w:r>
          </w:p>
        </w:tc>
      </w:tr>
      <w:tr w:rsidR="00322C78" w:rsidTr="00322C78">
        <w:tc>
          <w:tcPr>
            <w:tcW w:w="1166" w:type="dxa"/>
          </w:tcPr>
          <w:p w:rsidR="00322C78" w:rsidRDefault="00322C78" w:rsidP="00322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2C78" w:rsidRDefault="00322C78" w:rsidP="00322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din care:</w:t>
            </w:r>
          </w:p>
        </w:tc>
        <w:tc>
          <w:tcPr>
            <w:tcW w:w="3510" w:type="dxa"/>
          </w:tcPr>
          <w:p w:rsidR="00322C78" w:rsidRDefault="00165360" w:rsidP="001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66 924 952</w:t>
            </w:r>
          </w:p>
        </w:tc>
      </w:tr>
      <w:tr w:rsidR="00322C78" w:rsidTr="00322C78">
        <w:tc>
          <w:tcPr>
            <w:tcW w:w="1166" w:type="dxa"/>
          </w:tcPr>
          <w:p w:rsidR="00322C78" w:rsidRDefault="00322C78" w:rsidP="00322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22C78" w:rsidRDefault="00322C78" w:rsidP="00322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Clădiri</w:t>
            </w:r>
          </w:p>
        </w:tc>
        <w:tc>
          <w:tcPr>
            <w:tcW w:w="3510" w:type="dxa"/>
          </w:tcPr>
          <w:p w:rsidR="00322C78" w:rsidRDefault="00165360" w:rsidP="001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27 328 055</w:t>
            </w:r>
          </w:p>
        </w:tc>
      </w:tr>
      <w:tr w:rsidR="00322C78" w:rsidTr="00322C78">
        <w:tc>
          <w:tcPr>
            <w:tcW w:w="1166" w:type="dxa"/>
          </w:tcPr>
          <w:p w:rsidR="00322C78" w:rsidRDefault="00322C78" w:rsidP="00322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322C78" w:rsidRDefault="00322C78" w:rsidP="00322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Terenuri</w:t>
            </w:r>
          </w:p>
        </w:tc>
        <w:tc>
          <w:tcPr>
            <w:tcW w:w="3510" w:type="dxa"/>
          </w:tcPr>
          <w:p w:rsidR="00322C78" w:rsidRDefault="00165360" w:rsidP="001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17 998 360</w:t>
            </w:r>
          </w:p>
        </w:tc>
      </w:tr>
      <w:tr w:rsidR="00322C78" w:rsidTr="00322C78">
        <w:tc>
          <w:tcPr>
            <w:tcW w:w="1166" w:type="dxa"/>
          </w:tcPr>
          <w:p w:rsidR="00322C78" w:rsidRDefault="00322C78" w:rsidP="00322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322C78" w:rsidRDefault="00322C78" w:rsidP="00322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Poduri</w:t>
            </w:r>
          </w:p>
        </w:tc>
        <w:tc>
          <w:tcPr>
            <w:tcW w:w="3510" w:type="dxa"/>
          </w:tcPr>
          <w:p w:rsidR="00322C78" w:rsidRDefault="00165360" w:rsidP="001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6 818 801</w:t>
            </w:r>
          </w:p>
        </w:tc>
      </w:tr>
      <w:tr w:rsidR="00322C78" w:rsidTr="00322C78">
        <w:tc>
          <w:tcPr>
            <w:tcW w:w="1166" w:type="dxa"/>
          </w:tcPr>
          <w:p w:rsidR="00322C78" w:rsidRDefault="00322C78" w:rsidP="00322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322C78" w:rsidRDefault="00322C78" w:rsidP="00322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Drumuri</w:t>
            </w:r>
          </w:p>
        </w:tc>
        <w:tc>
          <w:tcPr>
            <w:tcW w:w="3510" w:type="dxa"/>
          </w:tcPr>
          <w:p w:rsidR="00322C78" w:rsidRDefault="00165360" w:rsidP="001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14 779 736</w:t>
            </w:r>
          </w:p>
        </w:tc>
      </w:tr>
    </w:tbl>
    <w:p w:rsidR="00322C78" w:rsidRDefault="00322C78" w:rsidP="00322C7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7F7B" w:rsidRDefault="00F57F7B" w:rsidP="00F57F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Bunuri din domeniul privat al Comunei Șintereag: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4252"/>
        <w:gridCol w:w="3510"/>
      </w:tblGrid>
      <w:tr w:rsidR="00F57F7B" w:rsidTr="00F57F7B">
        <w:tc>
          <w:tcPr>
            <w:tcW w:w="1166" w:type="dxa"/>
          </w:tcPr>
          <w:p w:rsidR="00F57F7B" w:rsidRDefault="00F57F7B" w:rsidP="00F5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4252" w:type="dxa"/>
          </w:tcPr>
          <w:p w:rsidR="00F57F7B" w:rsidRDefault="00F57F7B" w:rsidP="00F5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Denumire</w:t>
            </w:r>
          </w:p>
        </w:tc>
        <w:tc>
          <w:tcPr>
            <w:tcW w:w="3510" w:type="dxa"/>
          </w:tcPr>
          <w:p w:rsidR="00F57F7B" w:rsidRDefault="00A31D7C" w:rsidP="001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Sold la 31.12.2018</w:t>
            </w:r>
          </w:p>
        </w:tc>
      </w:tr>
      <w:tr w:rsidR="00F57F7B" w:rsidTr="00F57F7B">
        <w:tc>
          <w:tcPr>
            <w:tcW w:w="1166" w:type="dxa"/>
          </w:tcPr>
          <w:p w:rsidR="00F57F7B" w:rsidRDefault="00F57F7B" w:rsidP="00F5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7F7B" w:rsidRDefault="00F57F7B" w:rsidP="00F5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din care:</w:t>
            </w:r>
          </w:p>
        </w:tc>
        <w:tc>
          <w:tcPr>
            <w:tcW w:w="3510" w:type="dxa"/>
          </w:tcPr>
          <w:p w:rsidR="00F57F7B" w:rsidRDefault="00691926" w:rsidP="001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2 961 117</w:t>
            </w:r>
          </w:p>
        </w:tc>
      </w:tr>
      <w:tr w:rsidR="00F57F7B" w:rsidTr="00F57F7B">
        <w:tc>
          <w:tcPr>
            <w:tcW w:w="1166" w:type="dxa"/>
          </w:tcPr>
          <w:p w:rsidR="00F57F7B" w:rsidRDefault="00F57F7B" w:rsidP="00F5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57F7B" w:rsidRDefault="00F57F7B" w:rsidP="00F5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Clădiri</w:t>
            </w:r>
          </w:p>
        </w:tc>
        <w:tc>
          <w:tcPr>
            <w:tcW w:w="3510" w:type="dxa"/>
          </w:tcPr>
          <w:p w:rsidR="00F57F7B" w:rsidRDefault="00165360" w:rsidP="001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1 186 649</w:t>
            </w:r>
          </w:p>
        </w:tc>
      </w:tr>
      <w:tr w:rsidR="00F57F7B" w:rsidTr="00F57F7B">
        <w:tc>
          <w:tcPr>
            <w:tcW w:w="1166" w:type="dxa"/>
          </w:tcPr>
          <w:p w:rsidR="00F57F7B" w:rsidRDefault="00F57F7B" w:rsidP="00F5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57F7B" w:rsidRDefault="00F57F7B" w:rsidP="00F5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Terenuri</w:t>
            </w:r>
          </w:p>
        </w:tc>
        <w:tc>
          <w:tcPr>
            <w:tcW w:w="3510" w:type="dxa"/>
          </w:tcPr>
          <w:p w:rsidR="00F57F7B" w:rsidRDefault="000B24A6" w:rsidP="000B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115 793</w:t>
            </w:r>
          </w:p>
        </w:tc>
      </w:tr>
    </w:tbl>
    <w:p w:rsidR="00F57F7B" w:rsidRDefault="00F57F7B" w:rsidP="00F57F7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7F7B" w:rsidRDefault="00F57F7B" w:rsidP="00F57F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Mijloace auto: </w:t>
      </w:r>
      <w:r w:rsidR="000B24A6">
        <w:rPr>
          <w:rFonts w:ascii="Times New Roman" w:hAnsi="Times New Roman"/>
          <w:sz w:val="24"/>
          <w:szCs w:val="24"/>
        </w:rPr>
        <w:t>470.577</w:t>
      </w:r>
    </w:p>
    <w:p w:rsidR="00F57F7B" w:rsidRDefault="00F57F7B" w:rsidP="00F57F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Obiecte de inventar:</w:t>
      </w:r>
      <w:r w:rsidR="000B24A6">
        <w:rPr>
          <w:rFonts w:ascii="Times New Roman" w:hAnsi="Times New Roman"/>
          <w:sz w:val="24"/>
          <w:szCs w:val="24"/>
        </w:rPr>
        <w:t xml:space="preserve"> 334.973</w:t>
      </w:r>
    </w:p>
    <w:p w:rsidR="00F57F7B" w:rsidRDefault="00F57F7B" w:rsidP="00F57F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Obiecte de inventar cultura:</w:t>
      </w:r>
      <w:r w:rsidR="000B24A6">
        <w:rPr>
          <w:rFonts w:ascii="Times New Roman" w:hAnsi="Times New Roman"/>
          <w:sz w:val="24"/>
          <w:szCs w:val="24"/>
        </w:rPr>
        <w:t xml:space="preserve"> 115.793</w:t>
      </w:r>
    </w:p>
    <w:p w:rsidR="00F57F7B" w:rsidRDefault="00F57F7B" w:rsidP="00F57F7B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Activitatea de inventariere s-a desfășurat în perioada </w:t>
      </w:r>
      <w:r w:rsidR="000B24A6">
        <w:rPr>
          <w:rFonts w:ascii="Times New Roman" w:hAnsi="Times New Roman"/>
          <w:sz w:val="24"/>
          <w:szCs w:val="24"/>
        </w:rPr>
        <w:t>10 – 20 decembrie 2018</w:t>
      </w:r>
      <w:r>
        <w:rPr>
          <w:rFonts w:ascii="Times New Roman" w:hAnsi="Times New Roman"/>
          <w:sz w:val="24"/>
          <w:szCs w:val="24"/>
        </w:rPr>
        <w:t>, din procesul verbal întocmit de comisia de inventariei a rezultat faptul că inventarierea generală a elementelor de activ și pasiv deținute de comuna Șintereag s-a efectuat cu respectarea prevederilor Ordinului MFP nr. 2861/2009, pentru aprobarea Normelor privind organizarea și efectuarea inventarierii elementelor de natura activelor, datoriilor și capitalurilor proprii, verificându-se totodată și modul de păstrare, depozitare și conservare a bunurilor.</w:t>
      </w:r>
    </w:p>
    <w:p w:rsidR="00F57F7B" w:rsidRDefault="00F57F7B" w:rsidP="00F57F7B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 baza datelor prezentate de comisia de inventariere și în urma verificărilor rezultatelor operațiunii de inventariere</w:t>
      </w:r>
      <w:r w:rsidR="00F42D91">
        <w:rPr>
          <w:rFonts w:ascii="Times New Roman" w:hAnsi="Times New Roman"/>
          <w:sz w:val="24"/>
          <w:szCs w:val="24"/>
        </w:rPr>
        <w:t>, a rezultat faptul că operațiunea a fost finalizată și materializată în termenul legal, nu s-au constatat deficiențe și nu s-au înregistrat diferențe, neexistând astfel riscul periclitării patrimoniului comunei.</w:t>
      </w:r>
    </w:p>
    <w:p w:rsidR="00F42D91" w:rsidRDefault="00F42D91" w:rsidP="00F57F7B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F42D91" w:rsidRDefault="00F42D91" w:rsidP="00F57F7B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F42D91" w:rsidRDefault="00F42D91" w:rsidP="00F57F7B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Domnilor consilieri,</w:t>
      </w:r>
    </w:p>
    <w:p w:rsidR="00F42D91" w:rsidRDefault="00F42D91" w:rsidP="00F57F7B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Față de cele prezentate mai</w:t>
      </w:r>
      <w:r w:rsidR="00691926">
        <w:rPr>
          <w:rFonts w:ascii="Times New Roman" w:hAnsi="Times New Roman"/>
          <w:sz w:val="24"/>
          <w:szCs w:val="24"/>
        </w:rPr>
        <w:t xml:space="preserve"> sus, pot spune că, în anul 2018</w:t>
      </w:r>
      <w:r>
        <w:rPr>
          <w:rFonts w:ascii="Times New Roman" w:hAnsi="Times New Roman"/>
          <w:sz w:val="24"/>
          <w:szCs w:val="24"/>
        </w:rPr>
        <w:t xml:space="preserve"> gestionarea bunurilor din domeniul public și privat al comunei Șintereag s-a realizat în mod corespunzător și legal, asigurându-se prin aparatul de specialitate al primarului comunei Șintereag administrarea și păstrarea corespunzătoare a acestuia, în conformitate cu prevederile legale în </w:t>
      </w:r>
      <w:r w:rsidR="00326BB7">
        <w:rPr>
          <w:rFonts w:ascii="Times New Roman" w:hAnsi="Times New Roman"/>
          <w:sz w:val="24"/>
          <w:szCs w:val="24"/>
        </w:rPr>
        <w:t>vigoare.</w:t>
      </w:r>
    </w:p>
    <w:p w:rsidR="00326BB7" w:rsidRDefault="00326BB7" w:rsidP="00F57F7B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26BB7" w:rsidRDefault="00326BB7" w:rsidP="00F57F7B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26BB7" w:rsidRDefault="00326BB7" w:rsidP="00F57F7B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26BB7" w:rsidRPr="00326BB7" w:rsidRDefault="00326BB7" w:rsidP="00326BB7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326BB7">
        <w:rPr>
          <w:rFonts w:ascii="Times New Roman" w:hAnsi="Times New Roman"/>
          <w:b/>
          <w:sz w:val="24"/>
          <w:szCs w:val="24"/>
        </w:rPr>
        <w:t>PRIMAR,</w:t>
      </w:r>
    </w:p>
    <w:p w:rsidR="00326BB7" w:rsidRDefault="00326BB7" w:rsidP="00326BB7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326BB7">
        <w:rPr>
          <w:rFonts w:ascii="Times New Roman" w:hAnsi="Times New Roman"/>
          <w:b/>
          <w:sz w:val="24"/>
          <w:szCs w:val="24"/>
        </w:rPr>
        <w:t>BOB IOAN</w:t>
      </w:r>
    </w:p>
    <w:p w:rsidR="00326BB7" w:rsidRDefault="00326BB7" w:rsidP="00326BB7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326BB7" w:rsidRDefault="00326BB7" w:rsidP="00326BB7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326BB7" w:rsidRDefault="00326BB7" w:rsidP="00326BB7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326BB7" w:rsidRDefault="00326BB7" w:rsidP="00326BB7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326BB7" w:rsidRPr="00326BB7" w:rsidRDefault="00326BB7" w:rsidP="00326BB7">
      <w:pPr>
        <w:spacing w:after="0" w:line="240" w:lineRule="auto"/>
        <w:ind w:left="360" w:firstLine="34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26BB7" w:rsidRPr="0032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6B69"/>
    <w:multiLevelType w:val="hybridMultilevel"/>
    <w:tmpl w:val="094037E8"/>
    <w:lvl w:ilvl="0" w:tplc="51E0596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6FB11AF"/>
    <w:multiLevelType w:val="hybridMultilevel"/>
    <w:tmpl w:val="0DDAD46A"/>
    <w:lvl w:ilvl="0" w:tplc="ED4639AC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5E681940"/>
    <w:multiLevelType w:val="hybridMultilevel"/>
    <w:tmpl w:val="612654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21"/>
    <w:rsid w:val="000B24A6"/>
    <w:rsid w:val="000E1F21"/>
    <w:rsid w:val="000F5084"/>
    <w:rsid w:val="00165360"/>
    <w:rsid w:val="00322C78"/>
    <w:rsid w:val="00326BB7"/>
    <w:rsid w:val="003E35BD"/>
    <w:rsid w:val="00691926"/>
    <w:rsid w:val="00756356"/>
    <w:rsid w:val="00842860"/>
    <w:rsid w:val="009F5954"/>
    <w:rsid w:val="00A31D7C"/>
    <w:rsid w:val="00B36663"/>
    <w:rsid w:val="00C0048D"/>
    <w:rsid w:val="00D95C30"/>
    <w:rsid w:val="00DA3B72"/>
    <w:rsid w:val="00F42D91"/>
    <w:rsid w:val="00F57F7B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21"/>
    <w:pPr>
      <w:ind w:left="720"/>
      <w:contextualSpacing/>
    </w:pPr>
  </w:style>
  <w:style w:type="table" w:styleId="TableGrid">
    <w:name w:val="Table Grid"/>
    <w:basedOn w:val="TableNormal"/>
    <w:uiPriority w:val="59"/>
    <w:rsid w:val="00FE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21"/>
    <w:pPr>
      <w:ind w:left="720"/>
      <w:contextualSpacing/>
    </w:pPr>
  </w:style>
  <w:style w:type="table" w:styleId="TableGrid">
    <w:name w:val="Table Grid"/>
    <w:basedOn w:val="TableNormal"/>
    <w:uiPriority w:val="59"/>
    <w:rsid w:val="00FE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10</cp:revision>
  <cp:lastPrinted>2019-10-18T08:54:00Z</cp:lastPrinted>
  <dcterms:created xsi:type="dcterms:W3CDTF">2019-10-02T07:54:00Z</dcterms:created>
  <dcterms:modified xsi:type="dcterms:W3CDTF">2019-10-18T08:54:00Z</dcterms:modified>
</cp:coreProperties>
</file>